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102CD" w14:textId="325AF868" w:rsidR="0088168C" w:rsidRP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center"/>
        <w:rPr>
          <w:rFonts w:ascii="Arial" w:eastAsia="Arial" w:hAnsi="Arial" w:cs="Arial"/>
          <w:b/>
          <w:bCs/>
          <w:color w:val="222222"/>
          <w:sz w:val="32"/>
          <w:szCs w:val="32"/>
          <w:highlight w:val="white"/>
          <w:lang w:val="hr-HR"/>
        </w:rPr>
      </w:pPr>
      <w:r w:rsidRPr="0088168C">
        <w:rPr>
          <w:rFonts w:ascii="Arial" w:eastAsia="Arial" w:hAnsi="Arial" w:cs="Arial"/>
          <w:b/>
          <w:bCs/>
          <w:color w:val="222222"/>
          <w:sz w:val="32"/>
          <w:szCs w:val="32"/>
          <w:highlight w:val="white"/>
          <w:lang w:val="hr-HR"/>
        </w:rPr>
        <w:br/>
        <w:t>Studenac osigurao 300 milijuna eura za refinanciranje i daljnji rast</w:t>
      </w:r>
    </w:p>
    <w:p w14:paraId="59C52439" w14:textId="02440BC5" w:rsidR="0088168C" w:rsidRP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center"/>
        <w:rPr>
          <w:rFonts w:ascii="Arial" w:eastAsia="Arial" w:hAnsi="Arial" w:cs="Arial"/>
          <w:i/>
          <w:iCs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br/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Financiranje 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je </w:t>
      </w:r>
      <w:r w:rsidR="00C70E02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organizira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la</w:t>
      </w:r>
      <w:r w:rsidR="00C70E02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</w:t>
      </w:r>
      <w:r>
        <w:rPr>
          <w:rFonts w:ascii="Arial" w:eastAsia="Arial" w:hAnsi="Arial" w:cs="Arial"/>
          <w:i/>
          <w:iCs/>
          <w:color w:val="222222"/>
          <w:highlight w:val="white"/>
          <w:lang w:val="hr-HR"/>
        </w:rPr>
        <w:t>poljsk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a</w:t>
      </w:r>
      <w:r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bank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a</w:t>
      </w:r>
      <w:r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Pekao</w:t>
      </w:r>
      <w:r w:rsidR="00E01F40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(</w:t>
      </w:r>
      <w:r w:rsidR="00E01F40"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Bank Pekao S.A.</w:t>
      </w:r>
      <w:r w:rsidR="00E01F40" w:rsidRPr="00E01F40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)</w:t>
      </w:r>
      <w:r w:rsidR="00E01F40"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</w:t>
      </w:r>
      <w:r w:rsidR="00C70E02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uz 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podršk</w:t>
      </w:r>
      <w:r w:rsidR="00C70E02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u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domaćih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i međunarodnih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financijskih institucija</w:t>
      </w:r>
      <w:r w:rsidR="00C70E02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, 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a odražava visoku razinu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njihovog 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povjerenj</w:t>
      </w:r>
      <w:r w:rsidR="005953E7">
        <w:rPr>
          <w:rFonts w:ascii="Arial" w:eastAsia="Arial" w:hAnsi="Arial" w:cs="Arial"/>
          <w:i/>
          <w:iCs/>
          <w:color w:val="222222"/>
          <w:highlight w:val="white"/>
          <w:lang w:val="hr-HR"/>
        </w:rPr>
        <w:t>a</w:t>
      </w:r>
      <w:r w:rsidRPr="0088168C">
        <w:rPr>
          <w:rFonts w:ascii="Arial" w:eastAsia="Arial" w:hAnsi="Arial" w:cs="Arial"/>
          <w:i/>
          <w:iCs/>
          <w:color w:val="222222"/>
          <w:highlight w:val="white"/>
          <w:lang w:val="hr-HR"/>
        </w:rPr>
        <w:t xml:space="preserve"> u dugoročnu strategiju Studenca</w:t>
      </w:r>
    </w:p>
    <w:p w14:paraId="7B0B8FEC" w14:textId="4E7D9DC8" w:rsidR="0088168C" w:rsidRP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br/>
      </w:r>
      <w:r w:rsidRPr="0088168C">
        <w:rPr>
          <w:rFonts w:ascii="Arial" w:eastAsia="Arial" w:hAnsi="Arial" w:cs="Arial"/>
          <w:b/>
          <w:bCs/>
          <w:color w:val="222222"/>
          <w:sz w:val="22"/>
          <w:szCs w:val="22"/>
          <w:highlight w:val="white"/>
          <w:lang w:val="hr-HR"/>
        </w:rPr>
        <w:t>Omiš/Zagreb, 1. srpnja, 2025.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-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Studenac, jedan od najbrže rastućih maloprodajnih lanaca u srednjoj i istočnoj Europi te vodeći 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maloprodajni lanac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u Hrvatskoj po broju 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trgovina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, osigurao je novi financijski paket u iznosu od 300 milijuna eura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. Radi se o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važ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nom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korak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u </w:t>
      </w:r>
      <w:r w:rsidR="00B360DF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provedbi strategije daljnjeg rasta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kompanije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.</w:t>
      </w:r>
    </w:p>
    <w:p w14:paraId="059D3C2F" w14:textId="5D0B4409" w:rsidR="0088168C" w:rsidRP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U financiranju sudjeluju renomirane institucije koje su </w:t>
      </w: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na ovaj način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iskazale povjerenje u otpornost i održivost poslovnog modela Studenca. Transakciju je 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predvodila poljska banka Pekao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(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Bank Pekao S.A.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)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kojoj su se, uz financijske institucije koje su i ranije podržavale rast Studenca,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pridružile OTP Bank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d.d.</w:t>
      </w:r>
      <w:r w:rsidR="005953E7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,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Zagrebačk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bank</w:t>
      </w:r>
      <w:r w:rsidR="00C70E02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d.d.</w:t>
      </w:r>
      <w:r w:rsidR="00AE75E9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, </w:t>
      </w:r>
      <w:r w:rsidR="005953E7"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Powszechny Zakład Ubezpieczeń </w:t>
      </w:r>
      <w:r w:rsidR="00AE75E9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iz Poljske te mađarska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OTP Bank Plc</w:t>
      </w:r>
      <w:r w:rsidR="00AE75E9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.</w:t>
      </w:r>
    </w:p>
    <w:p w14:paraId="2E86D1BF" w14:textId="6D805FBC" w:rsidR="002320FA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„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Ova transakcija snažna je potvrda strateškog smjera i potencijala rasta Studenca”, izjavio je </w:t>
      </w:r>
      <w:r w:rsidRPr="00E01F40">
        <w:rPr>
          <w:rFonts w:ascii="Arial" w:eastAsia="Arial" w:hAnsi="Arial" w:cs="Arial"/>
          <w:b/>
          <w:bCs/>
          <w:color w:val="222222"/>
          <w:sz w:val="22"/>
          <w:szCs w:val="22"/>
          <w:highlight w:val="white"/>
        </w:rPr>
        <w:t>Michał Halwa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, član Uprave za financije Studenca. „Uz to što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</w:rPr>
        <w:t>odražava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povjerenje koje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</w:rPr>
        <w:t>domaće</w:t>
      </w:r>
      <w:r w:rsidR="00AE75E9"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i međunarodne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institucije imaju u poslovanje Studenca i n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aše buduće planove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</w:rPr>
        <w:t>, dodatno nas osnažuje za nova ulaganja u razvoj poslovanja, kako kroz organski rast, tako i kroz nove akvizicije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”.</w:t>
      </w:r>
      <w:r w:rsidRP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</w:t>
      </w:r>
    </w:p>
    <w:p w14:paraId="1A455C0E" w14:textId="05E2141F" w:rsidR="0088168C" w:rsidRPr="0088168C" w:rsidRDefault="00AE75E9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yellow"/>
          <w:lang w:val="hr-HR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Novi financijski paket</w:t>
      </w:r>
      <w:r w:rsidR="0088168C"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će se koristiti za refinanciranje postojećih dugoročnih obveza po povoljnijim uvjetima te za daljnje širenje poslovanja, kroz otvaranje novih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trgovina</w:t>
      </w:r>
      <w:r w:rsidR="0088168C"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i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nova </w:t>
      </w:r>
      <w:r w:rsidR="0088168C"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preuzimanja. </w:t>
      </w:r>
      <w:r w:rsidRPr="00AE75E9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Na ovaj je način Studenac osigurao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dodatna</w:t>
      </w:r>
      <w:r w:rsidRPr="00AE75E9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sredstva za ostvarenje strateških ciljeva i daljnje jačanje položaja u regiji.</w:t>
      </w:r>
    </w:p>
    <w:p w14:paraId="71E94991" w14:textId="2ADE8603" w:rsid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Tijekom procesa, Studenac su savjetovali odvjetnički uredi Wolf Theiss i Arendt, dok su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financijske institucije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imal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e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pravnu podršku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tvrtki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Clifford Chance i DTB.</w:t>
      </w:r>
    </w:p>
    <w:p w14:paraId="1DB840A1" w14:textId="62060A48" w:rsidR="0088168C" w:rsidRP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Studenac je 2024. godinu zaključio izvrsnim poslovnim rezultatima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koji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potvrđuj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u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snagu koncepta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praktične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trgovine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u susjedstvu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,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kategorije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u koj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oj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kompanija zauzima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vodeć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 poziciju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na domaćem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tržišt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. Ukupni prihodi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Studenac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Grupe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povećani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su za 22 </w:t>
      </w:r>
      <w:r w:rsidR="002320FA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posto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i iznosili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su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816,5 milijuna eura, dok je prodaja na usporedivim lokacijama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(</w:t>
      </w:r>
      <w:r w:rsidR="00563E9D" w:rsidRPr="00E01F40">
        <w:rPr>
          <w:rFonts w:ascii="Arial" w:eastAsia="Arial" w:hAnsi="Arial" w:cs="Arial"/>
          <w:i/>
          <w:iCs/>
          <w:color w:val="222222"/>
          <w:sz w:val="22"/>
          <w:szCs w:val="22"/>
          <w:lang w:val="hr-HR"/>
        </w:rPr>
        <w:t>like-for-like</w:t>
      </w:r>
      <w:r w:rsidR="00563E9D">
        <w:rPr>
          <w:rFonts w:ascii="Arial" w:eastAsia="Arial" w:hAnsi="Arial" w:cs="Arial"/>
          <w:color w:val="222222"/>
          <w:sz w:val="22"/>
          <w:szCs w:val="22"/>
          <w:lang w:val="hr-HR"/>
        </w:rPr>
        <w:t>)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porasla za 11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posto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. Prilagođena EBITDA dosegnula je 78 milijuna eura,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odnosno pora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sla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za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18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posto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u odnosu na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2023. godinu. </w:t>
      </w:r>
    </w:p>
    <w:p w14:paraId="40746C4E" w14:textId="77777777" w:rsidR="00E01F40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Godinu je obilježio i </w:t>
      </w:r>
      <w:r w:rsidR="00E01F40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ulazak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na međunarodno tržište preuzimanjem slovenskog maloprodajnog lanca Kea. </w:t>
      </w:r>
    </w:p>
    <w:p w14:paraId="40942B31" w14:textId="7C4CDCB9" w:rsidR="0088168C" w:rsidRDefault="0088168C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U 2024. godini Studenac je otvorio 140 novih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trgovina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</w:t>
      </w:r>
      <w:r w:rsidR="006148D4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te </w:t>
      </w:r>
      <w:r w:rsidR="00563E9D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 svoju mrežu uključio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 dodatnih 68 lokacija, dosegnuvši ukupno 1.443 </w:t>
      </w:r>
      <w:r w:rsidR="006148D4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 xml:space="preserve">prodajna mjesta </w:t>
      </w:r>
      <w:r w:rsidRPr="0088168C"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  <w:t>u Hrvatskoj i Sloveniji.</w:t>
      </w:r>
    </w:p>
    <w:p w14:paraId="747E11DA" w14:textId="77777777" w:rsidR="00E01F40" w:rsidRDefault="00E01F40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C48F1F4" w14:textId="77777777" w:rsidR="00E01F40" w:rsidRDefault="00E01F40" w:rsidP="00E01F40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O Studencu</w:t>
      </w:r>
    </w:p>
    <w:p w14:paraId="33A9DD24" w14:textId="77777777" w:rsidR="00E01F40" w:rsidRPr="00F902DD" w:rsidRDefault="00E01F40" w:rsidP="00E01F40">
      <w:pPr>
        <w:jc w:val="both"/>
      </w:pPr>
    </w:p>
    <w:p w14:paraId="15771142" w14:textId="77777777" w:rsidR="00E01F40" w:rsidRPr="00CE19A1" w:rsidRDefault="00E01F40" w:rsidP="00E01F4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13DDCEF2" w14:textId="77777777" w:rsidR="00E01F40" w:rsidRPr="00CE19A1" w:rsidRDefault="00E01F40" w:rsidP="00E01F4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3F58D5B5" w14:textId="77777777" w:rsidR="00E01F40" w:rsidRPr="00CE19A1" w:rsidRDefault="00E01F40" w:rsidP="00E01F4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4E0B58A5" w14:textId="77777777" w:rsidR="00E01F40" w:rsidRPr="00CE19A1" w:rsidRDefault="00E01F40" w:rsidP="00E01F4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24548E41" w14:textId="77777777" w:rsidR="00E01F40" w:rsidRPr="00CE19A1" w:rsidRDefault="00E01F40" w:rsidP="00E01F4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Od 2018. godine Studenac je u vlasništvu fonda kojim upravlja tvrtka Enterprise Investors. Riječ je o jednom od najvećih društava za ulaganje privatnog kapitala u srednjoistočnoj Europi kojeg odlikuje jedinstveno iskustvo i niz uspješnih ulaganja u maloprodajnom sektoru.</w:t>
      </w:r>
    </w:p>
    <w:p w14:paraId="5AE2250F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30B49B4C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1BB68D33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4553A828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Marina Bolanča Radunović | +385 91 7912 570</w:t>
      </w:r>
    </w:p>
    <w:p w14:paraId="3566DD13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8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463BF3E0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0507A747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11A90C89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1D52B106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Adam Kucza, direktor Odjela za odnose s investitorima </w:t>
      </w:r>
    </w:p>
    <w:p w14:paraId="085DF113" w14:textId="77777777" w:rsidR="00E01F40" w:rsidRDefault="00E01F40" w:rsidP="00E01F40">
      <w:r w:rsidRPr="00CE19A1">
        <w:rPr>
          <w:rFonts w:ascii="Arial" w:eastAsia="Arial" w:hAnsi="Arial" w:cs="Arial"/>
          <w:sz w:val="18"/>
          <w:szCs w:val="18"/>
        </w:rPr>
        <w:t xml:space="preserve">+385 91 489 0485 | </w:t>
      </w:r>
      <w:hyperlink r:id="rId9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adam.kucza@studenac.hr</w:t>
        </w:r>
      </w:hyperlink>
    </w:p>
    <w:p w14:paraId="7AB491C3" w14:textId="77777777" w:rsidR="00E01F40" w:rsidRDefault="00E01F40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0DE49BEE" w14:textId="77777777" w:rsidR="002320FA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FD609D4" w14:textId="77777777" w:rsidR="002320FA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379F96D1" w14:textId="77777777" w:rsidR="002320FA" w:rsidRPr="0088168C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8AC6463" w14:textId="77777777" w:rsidR="00DE3B88" w:rsidRPr="001046B1" w:rsidRDefault="00DE3B88">
      <w:pPr>
        <w:spacing w:after="120" w:line="264" w:lineRule="auto"/>
        <w:rPr>
          <w:rFonts w:ascii="Arial" w:eastAsia="Arial" w:hAnsi="Arial" w:cs="Arial"/>
          <w:sz w:val="22"/>
          <w:szCs w:val="22"/>
          <w:lang w:val="en-US"/>
        </w:rPr>
      </w:pPr>
    </w:p>
    <w:sectPr w:rsidR="00DE3B88" w:rsidRPr="001046B1">
      <w:headerReference w:type="default" r:id="rId10"/>
      <w:footerReference w:type="default" r:id="rId11"/>
      <w:pgSz w:w="11900" w:h="16840"/>
      <w:pgMar w:top="2694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87A0F" w14:textId="77777777" w:rsidR="003344FE" w:rsidRPr="001020D6" w:rsidRDefault="003344FE">
      <w:r w:rsidRPr="001020D6">
        <w:separator/>
      </w:r>
    </w:p>
  </w:endnote>
  <w:endnote w:type="continuationSeparator" w:id="0">
    <w:p w14:paraId="22BA3997" w14:textId="77777777" w:rsidR="003344FE" w:rsidRPr="001020D6" w:rsidRDefault="003344FE">
      <w:r w:rsidRPr="00102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FB147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807E1BF" wp14:editId="516C1FE5">
              <wp:simplePos x="0" y="0"/>
              <wp:positionH relativeFrom="column">
                <wp:posOffset>3265804</wp:posOffset>
              </wp:positionH>
              <wp:positionV relativeFrom="paragraph">
                <wp:posOffset>-496569</wp:posOffset>
              </wp:positionV>
              <wp:extent cx="1718945" cy="42227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D7378F3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  <w:t>Studenac Group S.A.</w:t>
                          </w:r>
                        </w:p>
                        <w:p w14:paraId="41F3D885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  <w:t>1, Rue Jean Piret, L-2350 Luxembourg</w:t>
                          </w:r>
                        </w:p>
                        <w:p w14:paraId="42C6512A" w14:textId="77777777" w:rsidR="00A82233" w:rsidRPr="001020D6" w:rsidRDefault="00A82233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020D6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www.studenacgroup.eu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07E1B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7.15pt;margin-top:-39.1pt;width:135.35pt;height:3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aaKCuOMAAAALAQAADwAAAAAAAAAAAAAAAABmBAAAZHJzL2Rvd25yZXYueG1sUEsFBgAAAAAEAAQA&#10;8wAAAHYFAAAAAA==&#10;" fillcolor="white [3201]" stroked="f">
              <v:textbox>
                <w:txbxContent>
                  <w:p w14:paraId="2D7378F3" w14:textId="77777777" w:rsidR="00A82233" w:rsidRPr="0043483D" w:rsidRDefault="00A82233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  <w:t>Studenac Group S.A.</w:t>
                    </w:r>
                  </w:p>
                  <w:p w14:paraId="41F3D885" w14:textId="77777777" w:rsidR="00A82233" w:rsidRPr="0043483D" w:rsidRDefault="00A82233">
                    <w:pPr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  <w:t>1, Rue Jean Piret, L-2350 Luxembourg</w:t>
                    </w:r>
                  </w:p>
                  <w:p w14:paraId="42C6512A" w14:textId="77777777" w:rsidR="00A82233" w:rsidRPr="001020D6" w:rsidRDefault="00A82233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020D6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www.studenacgroup.eu</w:t>
                    </w:r>
                  </w:p>
                </w:txbxContent>
              </v:textbox>
            </v:shape>
          </w:pict>
        </mc:Fallback>
      </mc:AlternateContent>
    </w:r>
    <w:r w:rsidRPr="00B27A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C108748" wp14:editId="6122AEFE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114300" distR="114300" simplePos="0" relativeHeight="0" behindDoc="0" locked="0" layoutInCell="1" hidden="0" allowOverlap="1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image3.png" descr="" title="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1595" cy="252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28C9F" w14:textId="77777777" w:rsidR="003344FE" w:rsidRPr="001020D6" w:rsidRDefault="003344FE">
      <w:r w:rsidRPr="001020D6">
        <w:separator/>
      </w:r>
    </w:p>
  </w:footnote>
  <w:footnote w:type="continuationSeparator" w:id="0">
    <w:p w14:paraId="3E53BC27" w14:textId="77777777" w:rsidR="003344FE" w:rsidRPr="001020D6" w:rsidRDefault="003344FE">
      <w:r w:rsidRPr="00102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B35D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  <w:color w:val="000000"/>
      </w:rPr>
      <w:drawing>
        <wp:inline distT="0" distB="0" distL="0" distR="0" wp14:anchorId="048AAC5C" wp14:editId="5702F899">
          <wp:extent cx="1356762" cy="135676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CEDA4E" w14:textId="77777777" w:rsidR="003B69E0" w:rsidRPr="0043483D" w:rsidRDefault="003B69E0" w:rsidP="007226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07CDD"/>
    <w:multiLevelType w:val="multilevel"/>
    <w:tmpl w:val="0FC66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AE4592C"/>
    <w:multiLevelType w:val="multilevel"/>
    <w:tmpl w:val="6624D6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8C1881"/>
    <w:multiLevelType w:val="multilevel"/>
    <w:tmpl w:val="8DF8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C4146B"/>
    <w:multiLevelType w:val="hybridMultilevel"/>
    <w:tmpl w:val="C400A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546233">
    <w:abstractNumId w:val="1"/>
  </w:num>
  <w:num w:numId="2" w16cid:durableId="860120167">
    <w:abstractNumId w:val="0"/>
  </w:num>
  <w:num w:numId="3" w16cid:durableId="1799833585">
    <w:abstractNumId w:val="2"/>
  </w:num>
  <w:num w:numId="4" w16cid:durableId="1141923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DDB"/>
    <w:rsid w:val="000253A8"/>
    <w:rsid w:val="00044F96"/>
    <w:rsid w:val="0005404D"/>
    <w:rsid w:val="00061170"/>
    <w:rsid w:val="00076281"/>
    <w:rsid w:val="00085253"/>
    <w:rsid w:val="00085908"/>
    <w:rsid w:val="00093349"/>
    <w:rsid w:val="00093F82"/>
    <w:rsid w:val="00094329"/>
    <w:rsid w:val="000A402D"/>
    <w:rsid w:val="000A46CD"/>
    <w:rsid w:val="000B13E4"/>
    <w:rsid w:val="000C7D03"/>
    <w:rsid w:val="000D5446"/>
    <w:rsid w:val="000D5F8A"/>
    <w:rsid w:val="000E245E"/>
    <w:rsid w:val="000E594B"/>
    <w:rsid w:val="000F0AD0"/>
    <w:rsid w:val="001020D6"/>
    <w:rsid w:val="001046B1"/>
    <w:rsid w:val="00111397"/>
    <w:rsid w:val="001118F9"/>
    <w:rsid w:val="0011273E"/>
    <w:rsid w:val="00112B73"/>
    <w:rsid w:val="0011518B"/>
    <w:rsid w:val="00121511"/>
    <w:rsid w:val="0012220B"/>
    <w:rsid w:val="00141CD6"/>
    <w:rsid w:val="0015421B"/>
    <w:rsid w:val="00155761"/>
    <w:rsid w:val="001709FA"/>
    <w:rsid w:val="00196943"/>
    <w:rsid w:val="001C7E02"/>
    <w:rsid w:val="001E0E94"/>
    <w:rsid w:val="001F0616"/>
    <w:rsid w:val="001F0C38"/>
    <w:rsid w:val="001F33D6"/>
    <w:rsid w:val="001F4D40"/>
    <w:rsid w:val="001F4DBE"/>
    <w:rsid w:val="001F5304"/>
    <w:rsid w:val="00202CC2"/>
    <w:rsid w:val="00207461"/>
    <w:rsid w:val="00212BF7"/>
    <w:rsid w:val="00220C9A"/>
    <w:rsid w:val="00221DDF"/>
    <w:rsid w:val="00224E67"/>
    <w:rsid w:val="002318EB"/>
    <w:rsid w:val="002320FA"/>
    <w:rsid w:val="002358C8"/>
    <w:rsid w:val="0024777A"/>
    <w:rsid w:val="00252BB2"/>
    <w:rsid w:val="002535EA"/>
    <w:rsid w:val="00254EF9"/>
    <w:rsid w:val="00257A3F"/>
    <w:rsid w:val="00261C70"/>
    <w:rsid w:val="002629AE"/>
    <w:rsid w:val="002713C5"/>
    <w:rsid w:val="00273E8A"/>
    <w:rsid w:val="002771A9"/>
    <w:rsid w:val="00282172"/>
    <w:rsid w:val="002833E3"/>
    <w:rsid w:val="00285CB8"/>
    <w:rsid w:val="00286B1E"/>
    <w:rsid w:val="00293397"/>
    <w:rsid w:val="00295428"/>
    <w:rsid w:val="002C78F9"/>
    <w:rsid w:val="002E2A48"/>
    <w:rsid w:val="00301575"/>
    <w:rsid w:val="00306F59"/>
    <w:rsid w:val="0031260E"/>
    <w:rsid w:val="00324ACF"/>
    <w:rsid w:val="00325088"/>
    <w:rsid w:val="00331F6A"/>
    <w:rsid w:val="003344FE"/>
    <w:rsid w:val="00335A64"/>
    <w:rsid w:val="00341CAB"/>
    <w:rsid w:val="00346D68"/>
    <w:rsid w:val="00347707"/>
    <w:rsid w:val="00347DED"/>
    <w:rsid w:val="003643D6"/>
    <w:rsid w:val="0037356F"/>
    <w:rsid w:val="00375A0E"/>
    <w:rsid w:val="00376C82"/>
    <w:rsid w:val="00380120"/>
    <w:rsid w:val="003805DF"/>
    <w:rsid w:val="003858E3"/>
    <w:rsid w:val="003873B8"/>
    <w:rsid w:val="003979E5"/>
    <w:rsid w:val="003A29E1"/>
    <w:rsid w:val="003A520C"/>
    <w:rsid w:val="003B5C0D"/>
    <w:rsid w:val="003B69E0"/>
    <w:rsid w:val="003C1FB5"/>
    <w:rsid w:val="003C6904"/>
    <w:rsid w:val="003C730D"/>
    <w:rsid w:val="003D4EBE"/>
    <w:rsid w:val="003D5E7B"/>
    <w:rsid w:val="003D74AE"/>
    <w:rsid w:val="003E15C3"/>
    <w:rsid w:val="003E7FDC"/>
    <w:rsid w:val="0040274A"/>
    <w:rsid w:val="00410E09"/>
    <w:rsid w:val="00414624"/>
    <w:rsid w:val="00414811"/>
    <w:rsid w:val="004338B7"/>
    <w:rsid w:val="0043483D"/>
    <w:rsid w:val="004405B7"/>
    <w:rsid w:val="00445AC2"/>
    <w:rsid w:val="00451DD2"/>
    <w:rsid w:val="00482D9C"/>
    <w:rsid w:val="004879E9"/>
    <w:rsid w:val="00491032"/>
    <w:rsid w:val="004A72E7"/>
    <w:rsid w:val="004B08DE"/>
    <w:rsid w:val="004B44DA"/>
    <w:rsid w:val="004B6CFB"/>
    <w:rsid w:val="004B71C8"/>
    <w:rsid w:val="004E56CF"/>
    <w:rsid w:val="005007C3"/>
    <w:rsid w:val="00521D7A"/>
    <w:rsid w:val="005315C8"/>
    <w:rsid w:val="00534C1C"/>
    <w:rsid w:val="00547EEE"/>
    <w:rsid w:val="00553CF9"/>
    <w:rsid w:val="00554F17"/>
    <w:rsid w:val="00561E2F"/>
    <w:rsid w:val="00563E9D"/>
    <w:rsid w:val="00581DE7"/>
    <w:rsid w:val="005911DA"/>
    <w:rsid w:val="005953E7"/>
    <w:rsid w:val="00596867"/>
    <w:rsid w:val="005979E3"/>
    <w:rsid w:val="005A05FF"/>
    <w:rsid w:val="005A20C1"/>
    <w:rsid w:val="005A58B8"/>
    <w:rsid w:val="005A5FC2"/>
    <w:rsid w:val="005B1AAB"/>
    <w:rsid w:val="005C4791"/>
    <w:rsid w:val="005F3D5B"/>
    <w:rsid w:val="005F4A39"/>
    <w:rsid w:val="005F67A2"/>
    <w:rsid w:val="0060086E"/>
    <w:rsid w:val="00601BCF"/>
    <w:rsid w:val="006148D4"/>
    <w:rsid w:val="00624D3C"/>
    <w:rsid w:val="00636AB3"/>
    <w:rsid w:val="00643769"/>
    <w:rsid w:val="0066071A"/>
    <w:rsid w:val="00666532"/>
    <w:rsid w:val="006810DE"/>
    <w:rsid w:val="0068420A"/>
    <w:rsid w:val="00684287"/>
    <w:rsid w:val="00693688"/>
    <w:rsid w:val="006B18B7"/>
    <w:rsid w:val="006C74E5"/>
    <w:rsid w:val="006D0CB7"/>
    <w:rsid w:val="006D5332"/>
    <w:rsid w:val="006E364E"/>
    <w:rsid w:val="006F378B"/>
    <w:rsid w:val="007027AC"/>
    <w:rsid w:val="007113BC"/>
    <w:rsid w:val="00714DDB"/>
    <w:rsid w:val="00715CF2"/>
    <w:rsid w:val="0072269B"/>
    <w:rsid w:val="00734296"/>
    <w:rsid w:val="00735C38"/>
    <w:rsid w:val="007409F8"/>
    <w:rsid w:val="00755F00"/>
    <w:rsid w:val="007603E6"/>
    <w:rsid w:val="00764E27"/>
    <w:rsid w:val="00777DB7"/>
    <w:rsid w:val="00783C5A"/>
    <w:rsid w:val="007908D9"/>
    <w:rsid w:val="007928F4"/>
    <w:rsid w:val="007A7162"/>
    <w:rsid w:val="007B5800"/>
    <w:rsid w:val="007B6340"/>
    <w:rsid w:val="007C28BD"/>
    <w:rsid w:val="007C30F4"/>
    <w:rsid w:val="007D004D"/>
    <w:rsid w:val="007E29E9"/>
    <w:rsid w:val="007E42B1"/>
    <w:rsid w:val="007F1AE7"/>
    <w:rsid w:val="00801E7C"/>
    <w:rsid w:val="00803103"/>
    <w:rsid w:val="008154E5"/>
    <w:rsid w:val="008236AB"/>
    <w:rsid w:val="00831D7C"/>
    <w:rsid w:val="00834CF8"/>
    <w:rsid w:val="00835EC3"/>
    <w:rsid w:val="00842C95"/>
    <w:rsid w:val="00844A11"/>
    <w:rsid w:val="00852D1C"/>
    <w:rsid w:val="00866CCE"/>
    <w:rsid w:val="0087133F"/>
    <w:rsid w:val="0087388C"/>
    <w:rsid w:val="00875DAA"/>
    <w:rsid w:val="0088168C"/>
    <w:rsid w:val="008828B8"/>
    <w:rsid w:val="00884B12"/>
    <w:rsid w:val="00887C70"/>
    <w:rsid w:val="008944F0"/>
    <w:rsid w:val="0089569D"/>
    <w:rsid w:val="008A07C9"/>
    <w:rsid w:val="008A4754"/>
    <w:rsid w:val="008B24D3"/>
    <w:rsid w:val="008C3E80"/>
    <w:rsid w:val="008D394C"/>
    <w:rsid w:val="008D4DF0"/>
    <w:rsid w:val="008D5935"/>
    <w:rsid w:val="008E52D4"/>
    <w:rsid w:val="008F7394"/>
    <w:rsid w:val="00923568"/>
    <w:rsid w:val="0092373E"/>
    <w:rsid w:val="009507EE"/>
    <w:rsid w:val="009513C1"/>
    <w:rsid w:val="00956EAD"/>
    <w:rsid w:val="00961008"/>
    <w:rsid w:val="00964375"/>
    <w:rsid w:val="009671F4"/>
    <w:rsid w:val="00985D8F"/>
    <w:rsid w:val="009A5133"/>
    <w:rsid w:val="009B0E35"/>
    <w:rsid w:val="009C2DF8"/>
    <w:rsid w:val="009D08F0"/>
    <w:rsid w:val="009D5E98"/>
    <w:rsid w:val="009F1225"/>
    <w:rsid w:val="00A121A4"/>
    <w:rsid w:val="00A158CE"/>
    <w:rsid w:val="00A16088"/>
    <w:rsid w:val="00A20457"/>
    <w:rsid w:val="00A24E68"/>
    <w:rsid w:val="00A42CDE"/>
    <w:rsid w:val="00A43012"/>
    <w:rsid w:val="00A4442E"/>
    <w:rsid w:val="00A45844"/>
    <w:rsid w:val="00A4640A"/>
    <w:rsid w:val="00A5165F"/>
    <w:rsid w:val="00A5198F"/>
    <w:rsid w:val="00A60577"/>
    <w:rsid w:val="00A61B40"/>
    <w:rsid w:val="00A63BA0"/>
    <w:rsid w:val="00A65154"/>
    <w:rsid w:val="00A666BF"/>
    <w:rsid w:val="00A704CD"/>
    <w:rsid w:val="00A7083E"/>
    <w:rsid w:val="00A73082"/>
    <w:rsid w:val="00A7670E"/>
    <w:rsid w:val="00A80209"/>
    <w:rsid w:val="00A82233"/>
    <w:rsid w:val="00A8738A"/>
    <w:rsid w:val="00A87654"/>
    <w:rsid w:val="00A925C2"/>
    <w:rsid w:val="00AA0279"/>
    <w:rsid w:val="00AB21A8"/>
    <w:rsid w:val="00AC433B"/>
    <w:rsid w:val="00AC7389"/>
    <w:rsid w:val="00AD5D44"/>
    <w:rsid w:val="00AE02BB"/>
    <w:rsid w:val="00AE03ED"/>
    <w:rsid w:val="00AE75E9"/>
    <w:rsid w:val="00AE778C"/>
    <w:rsid w:val="00AF06D7"/>
    <w:rsid w:val="00AF1841"/>
    <w:rsid w:val="00AF1E11"/>
    <w:rsid w:val="00AF401E"/>
    <w:rsid w:val="00B00002"/>
    <w:rsid w:val="00B14476"/>
    <w:rsid w:val="00B21F21"/>
    <w:rsid w:val="00B27009"/>
    <w:rsid w:val="00B27AEA"/>
    <w:rsid w:val="00B30CE6"/>
    <w:rsid w:val="00B3592B"/>
    <w:rsid w:val="00B360DF"/>
    <w:rsid w:val="00B4120D"/>
    <w:rsid w:val="00B43E63"/>
    <w:rsid w:val="00B46FED"/>
    <w:rsid w:val="00B47793"/>
    <w:rsid w:val="00B5582D"/>
    <w:rsid w:val="00B57FB2"/>
    <w:rsid w:val="00B60B26"/>
    <w:rsid w:val="00B668FD"/>
    <w:rsid w:val="00B67E3C"/>
    <w:rsid w:val="00B70CC6"/>
    <w:rsid w:val="00B73DAB"/>
    <w:rsid w:val="00B85FA8"/>
    <w:rsid w:val="00BA02A2"/>
    <w:rsid w:val="00BA3C1B"/>
    <w:rsid w:val="00BA4127"/>
    <w:rsid w:val="00BB24D0"/>
    <w:rsid w:val="00BB3830"/>
    <w:rsid w:val="00BC61A9"/>
    <w:rsid w:val="00BC6E34"/>
    <w:rsid w:val="00BC768D"/>
    <w:rsid w:val="00BD20E3"/>
    <w:rsid w:val="00BE4D25"/>
    <w:rsid w:val="00BE5280"/>
    <w:rsid w:val="00BF1142"/>
    <w:rsid w:val="00BF31DF"/>
    <w:rsid w:val="00BF708D"/>
    <w:rsid w:val="00C04CE1"/>
    <w:rsid w:val="00C05511"/>
    <w:rsid w:val="00C13903"/>
    <w:rsid w:val="00C271FE"/>
    <w:rsid w:val="00C310BA"/>
    <w:rsid w:val="00C3450A"/>
    <w:rsid w:val="00C44705"/>
    <w:rsid w:val="00C51DFF"/>
    <w:rsid w:val="00C55D40"/>
    <w:rsid w:val="00C64B02"/>
    <w:rsid w:val="00C67CFF"/>
    <w:rsid w:val="00C70E02"/>
    <w:rsid w:val="00C72A38"/>
    <w:rsid w:val="00C855CD"/>
    <w:rsid w:val="00CA6012"/>
    <w:rsid w:val="00CA706D"/>
    <w:rsid w:val="00CB1792"/>
    <w:rsid w:val="00CC4578"/>
    <w:rsid w:val="00CC635A"/>
    <w:rsid w:val="00CD4BBE"/>
    <w:rsid w:val="00D11BB5"/>
    <w:rsid w:val="00D25C22"/>
    <w:rsid w:val="00D3142B"/>
    <w:rsid w:val="00D426D0"/>
    <w:rsid w:val="00D45015"/>
    <w:rsid w:val="00D47727"/>
    <w:rsid w:val="00D52448"/>
    <w:rsid w:val="00D52F51"/>
    <w:rsid w:val="00D97655"/>
    <w:rsid w:val="00DA1C43"/>
    <w:rsid w:val="00DB1727"/>
    <w:rsid w:val="00DB3D07"/>
    <w:rsid w:val="00DB61C1"/>
    <w:rsid w:val="00DB6786"/>
    <w:rsid w:val="00DC25CC"/>
    <w:rsid w:val="00DC56E0"/>
    <w:rsid w:val="00DD158F"/>
    <w:rsid w:val="00DD5BE8"/>
    <w:rsid w:val="00DE3B88"/>
    <w:rsid w:val="00DE6AF0"/>
    <w:rsid w:val="00DF69B4"/>
    <w:rsid w:val="00DF6E63"/>
    <w:rsid w:val="00E01F40"/>
    <w:rsid w:val="00E04243"/>
    <w:rsid w:val="00E2705C"/>
    <w:rsid w:val="00E35B53"/>
    <w:rsid w:val="00E40E90"/>
    <w:rsid w:val="00E4421F"/>
    <w:rsid w:val="00E44AF5"/>
    <w:rsid w:val="00E57D1B"/>
    <w:rsid w:val="00E727CC"/>
    <w:rsid w:val="00E821C4"/>
    <w:rsid w:val="00E85486"/>
    <w:rsid w:val="00E94C54"/>
    <w:rsid w:val="00EA27C4"/>
    <w:rsid w:val="00EA716D"/>
    <w:rsid w:val="00EC1B4A"/>
    <w:rsid w:val="00EC60B9"/>
    <w:rsid w:val="00ED60F0"/>
    <w:rsid w:val="00EE01D7"/>
    <w:rsid w:val="00EF0CE7"/>
    <w:rsid w:val="00EF1BB6"/>
    <w:rsid w:val="00F10352"/>
    <w:rsid w:val="00F158F8"/>
    <w:rsid w:val="00F17178"/>
    <w:rsid w:val="00F21108"/>
    <w:rsid w:val="00F2157E"/>
    <w:rsid w:val="00F22534"/>
    <w:rsid w:val="00F242EA"/>
    <w:rsid w:val="00F2544B"/>
    <w:rsid w:val="00F27C14"/>
    <w:rsid w:val="00F376B4"/>
    <w:rsid w:val="00F44AA5"/>
    <w:rsid w:val="00F511CE"/>
    <w:rsid w:val="00F541B9"/>
    <w:rsid w:val="00F6458C"/>
    <w:rsid w:val="00F770F8"/>
    <w:rsid w:val="00F80641"/>
    <w:rsid w:val="00F80A3C"/>
    <w:rsid w:val="00F91E79"/>
    <w:rsid w:val="00FA74F3"/>
    <w:rsid w:val="00FB47BE"/>
    <w:rsid w:val="00FC79C0"/>
    <w:rsid w:val="00FE23A2"/>
    <w:rsid w:val="00FF5CC5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9DC01E"/>
  <w15:docId w15:val="{3ED2C158-5475-4FB4-A634-403E43F4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styleId="Revision">
    <w:name w:val="Revision"/>
    <w:hidden/>
    <w:uiPriority w:val="99"/>
    <w:semiHidden/>
    <w:rsid w:val="00A82233"/>
  </w:style>
  <w:style w:type="character" w:styleId="CommentReference">
    <w:name w:val="annotation reference"/>
    <w:aliases w:val=" Char25,Char25"/>
    <w:basedOn w:val="DefaultParagraphFont"/>
    <w:uiPriority w:val="99"/>
    <w:unhideWhenUsed/>
    <w:qFormat/>
    <w:rsid w:val="00875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5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DAA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67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67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B67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AEA"/>
  </w:style>
  <w:style w:type="paragraph" w:styleId="Footer">
    <w:name w:val="footer"/>
    <w:basedOn w:val="Normal"/>
    <w:link w:val="Foot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AEA"/>
  </w:style>
  <w:style w:type="paragraph" w:styleId="NormalWeb">
    <w:name w:val="Normal (Web)"/>
    <w:basedOn w:val="Normal"/>
    <w:uiPriority w:val="99"/>
    <w:unhideWhenUsed/>
    <w:rsid w:val="002C78F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C78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8F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46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82D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D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2D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41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24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8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abeceda-komunikacije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m.kucza@studenac.h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CC6D2-C928-4B3E-B86E-F7D7E4DA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NBS</dc:creator>
  <cp:keywords>, docId:82AAAFD33F2DF75D07C86E8D5FBD5787</cp:keywords>
  <cp:lastModifiedBy>Barbara Đuran</cp:lastModifiedBy>
  <cp:revision>3</cp:revision>
  <dcterms:created xsi:type="dcterms:W3CDTF">2025-07-01T05:24:00Z</dcterms:created>
  <dcterms:modified xsi:type="dcterms:W3CDTF">2025-07-01T06:32:00Z</dcterms:modified>
</cp:coreProperties>
</file>